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Masz SEO, nie masz sprzedaży? Zobacz, co możesz robić lepiej!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Prowadzisz działania SEO, które generują spory ruch w Twoim sklepie internetowym? Zastanawiasz się, dlaczego nie przekłada się on na większą sprzedaż?</w:t>
      </w:r>
    </w:p>
    <w:p>
      <w:r>
        <w:rPr>
          <w:rFonts w:ascii="calibri" w:hAnsi="calibri" w:eastAsia="calibri" w:cs="calibri"/>
          <w:sz w:val="36"/>
          <w:szCs w:val="36"/>
          <w:b/>
        </w:rPr>
        <w:t xml:space="preserve"> Ech... prawdopodobnie popełniasz jedne z najczęstszych błędów. Odwiedź naszego bloga i dowiedz się, co można zrobić lepiej, by pozyskany ruch z Google przyniósł oczekiwane zysk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Cały artykuł znajdziesz na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 TUTAJ</w:t>
        </w:r>
      </w:hyperlink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idoczni.com/blog/masz-seo-nie-masz-sprzedazy-zobacz-co-mozesz-robic-lepiej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2024-04-26T11:13:04+02:00</dcterms:created>
  <dcterms:modified xsi:type="dcterms:W3CDTF">2024-04-26T11:13:04+02:00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