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SEO jako fundament SEO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nie umarło – stało się „paliwem” dla AI!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wcale nie traci na znaczeniu – wręcz przeciwnie: stało się kluczowym fundamentem dla modeli AI (ChatGPT, Gemini, Perplexity). Dlaczego? Bo systemy AI czerpią wiedzę m.in. z wyników wyszukiwania Google i Bing!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Twarde dane z raportu Writesonic (analiza 1M+ AI Overviews):</w:t>
      </w:r>
    </w:p>
    <w:p>
      <w:r>
        <w:rPr>
          <w:rFonts w:ascii="calibri" w:hAnsi="calibri" w:eastAsia="calibri" w:cs="calibri"/>
          <w:sz w:val="24"/>
          <w:szCs w:val="24"/>
        </w:rPr>
        <w:t xml:space="preserve">- 40,6% cytatów w AI Overviews pochodzi z Top 10 wyników Google,</w:t>
      </w:r>
    </w:p>
    <w:p>
      <w:r>
        <w:rPr>
          <w:rFonts w:ascii="calibri" w:hAnsi="calibri" w:eastAsia="calibri" w:cs="calibri"/>
          <w:sz w:val="24"/>
          <w:szCs w:val="24"/>
        </w:rPr>
        <w:t xml:space="preserve">- 81,1% odpowiedzi AI zawiera przynajmniej jeden link z Top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Co to oznacza dla Ciebie?</w:t>
      </w:r>
    </w:p>
    <w:p>
      <w:r>
        <w:rPr>
          <w:rFonts w:ascii="calibri" w:hAnsi="calibri" w:eastAsia="calibri" w:cs="calibri"/>
          <w:sz w:val="24"/>
          <w:szCs w:val="24"/>
        </w:rPr>
        <w:t xml:space="preserve">1. Optymalizacja pod SEO = większa szansa na bycie źródłem dla AI (i tym samym – na organiczny ruch!),</w:t>
      </w:r>
    </w:p>
    <w:p>
      <w:r>
        <w:rPr>
          <w:rFonts w:ascii="calibri" w:hAnsi="calibri" w:eastAsia="calibri" w:cs="calibri"/>
          <w:sz w:val="24"/>
          <w:szCs w:val="24"/>
        </w:rPr>
        <w:t xml:space="preserve">2. Jakość contentu ma teraz podwójne znaczenie: nie tylko dla użytkowników, ale i dla algorytmów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2025-10-23T11:57:05+02:00</dcterms:created>
  <dcterms:modified xsi:type="dcterms:W3CDTF">2025-10-23T11:57:05+02:00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